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C" w:rsidRDefault="0019020A">
      <w:pPr>
        <w:rPr>
          <w:b/>
        </w:rPr>
      </w:pPr>
      <w:r>
        <w:rPr>
          <w:b/>
        </w:rPr>
        <w:t>WHAT THE COLLEGE BOARD WANTS YOU TO KNOW ABOUT CELLULAR RESPIRATION AND PHOTOSYNTHESIS</w:t>
      </w:r>
    </w:p>
    <w:p w:rsidR="0019020A" w:rsidRPr="0019020A" w:rsidRDefault="0019020A" w:rsidP="0019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Essential knowledge 2.A.2: Organisms capture and store free energy for use in biological processes.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a. Autotrophs capture free energy from physical sources in the environment.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Evidence of student learning is a demonstrated understanding of each of the following: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1. Photosynthetic organisms capture free energy present in sunlight.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2. Chemosynthetic organisms capture free energy from small inorganic molecules present in their environment, and this process can occur in the absence of oxygen.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b. Heterotrophs capture free energy present in carbon compounds produced by other organisms.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Evidence of student learning is a demonstrated understanding of each of the following: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1. Heterotrophs may metabolize carbohydrates, lipids and proteins by hydrolysis as sources of free energy.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2. Fermentation produces organic molecules, including alcohol and lactic acid, and it occurs in the absence of oxygen.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c. Different energy-capturing processes use different types of electron acceptors.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To demonstrate student understanding of this concept, make sure you can explain</w:t>
      </w:r>
    </w:p>
    <w:p w:rsidR="0019020A" w:rsidRPr="0019020A" w:rsidRDefault="0019020A" w:rsidP="0019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20A" w:rsidRPr="0019020A" w:rsidRDefault="0019020A" w:rsidP="001902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textAlignment w:val="baseline"/>
        <w:rPr>
          <w:rFonts w:ascii="Ubuntu" w:eastAsia="Times New Roman" w:hAnsi="Ubuntu" w:cs="Times New Roman"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color w:val="221E1F"/>
          <w:sz w:val="20"/>
          <w:szCs w:val="20"/>
        </w:rPr>
        <w:t>NADP+ in photosynthesis</w:t>
      </w:r>
    </w:p>
    <w:p w:rsidR="0019020A" w:rsidRPr="0019020A" w:rsidRDefault="0019020A" w:rsidP="001902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textAlignment w:val="baseline"/>
        <w:rPr>
          <w:rFonts w:ascii="Ubuntu" w:eastAsia="Times New Roman" w:hAnsi="Ubuntu" w:cs="Times New Roman"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color w:val="221E1F"/>
          <w:sz w:val="20"/>
          <w:szCs w:val="20"/>
        </w:rPr>
        <w:t>Oxygen in cellular respiration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d. The light-dependent reactions of photosynthesis in eukaryotes involve a series of coordinated reaction pathways that capture free energy present in light to yield ATP and NADPH, which power the production of organic molecules.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Evidence of student learning is a demonstrated understanding of each of the following: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1. During photosynthesis, chlorophylls absorb free energy from light, boosting electrons to a higher energy level in Photosystems I and II.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2. Photosystems I and II are embedded in the internal membranes of chloroplasts (thylakoids) and are connected by the transfer of higher free energy electrons through an electron transport chain (ETC). 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3. When electrons are transferred between molecules in a sequence of reactions as they pass through the ETC, an electrochemical gradient of hydrogen ions (protons) across the </w:t>
      </w:r>
      <w:proofErr w:type="spellStart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thykaloid</w:t>
      </w:r>
      <w:proofErr w:type="spellEnd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 membrane is established.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4. The formation of the proton gradient is a separate process, but it is linked to the synthesis of ATP from ADP and inorganic phosphate via ATP synthase.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5. The energy captured in the light reactions as ATP and NADPH powers the production of carbohydrates from carbon dioxide in the Calvin cycle, which occurs in the </w:t>
      </w:r>
      <w:proofErr w:type="spellStart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stroma</w:t>
      </w:r>
      <w:proofErr w:type="spellEnd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 of the chloroplast.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e. Photosynthesis first evolved in prokaryotic organisms; scientific evidence supports that prokaryotic (bacterial) photosynthesis was responsible for the production of an oxygenated atmosphere; prokaryotic photosynthetic pathways were the foundation of eukaryotic photosynthesis.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f. Cellular respiration in eukaryotes involves a series of coordinated enzyme-catalyzed reactions that harvest free energy from simple carbohydrates.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Evidence of student learning is a demonstrated understanding of each of the following: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1.  Glycolysis rearranges the bonds in glucose molecules, releasing free energy to form ATP from ADP and inorganic phosphate, and resulting in the production of pyruvate.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2.  Pyruvate is transported from the cytoplasm to the mitochondrion, where further oxidation occurs. 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3. In the Krebs cycle, carbon dioxide is released from organic intermediates ATP is synthesized from ADP and inorganic phosphate via substrate level phosphorylation and electrons are captured by coenzymes.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4. Electrons that are extracted in the series of Krebs cycle reactions are carried by NADH and FADH</w:t>
      </w:r>
      <w:r w:rsidRPr="0019020A">
        <w:rPr>
          <w:rFonts w:ascii="Ubuntu" w:eastAsia="Times New Roman" w:hAnsi="Ubuntu" w:cs="Times New Roman"/>
          <w:color w:val="000000"/>
          <w:sz w:val="12"/>
          <w:szCs w:val="12"/>
          <w:vertAlign w:val="subscript"/>
        </w:rPr>
        <w:t>2</w:t>
      </w: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 to the electron transport chain.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lastRenderedPageBreak/>
        <w:t>g. The electron transport chain captures free energy from electrons in a series of coupled reactions that establish an electrochemical gradient across membranes.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i/>
          <w:iCs/>
          <w:color w:val="000000"/>
          <w:sz w:val="20"/>
          <w:szCs w:val="20"/>
        </w:rPr>
        <w:t>Evidence of student learning is a demonstrated understanding of each of the following: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1. Electron transport chain reactions occur in chloroplasts (photosynthesis), mitochondria (cellular respiration) and prokaryotic plasma membranes.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2. </w:t>
      </w:r>
      <w:proofErr w:type="gramStart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In</w:t>
      </w:r>
      <w:proofErr w:type="gramEnd"/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 cellular respiration, electrons delivered by NADH and FADH2 are passed to a series of electron acceptors as they move toward the terminal electron acceptor, oxygen. In photosynthesis, the terminal electron acceptor is NADP+.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3. The passage of electrons is accompanied by the formation of a proton gradient across the inner mitochondrial membrane or the thylakoid membrane of chloroplasts, with the membrane(s) separating a region of high proton concentration from a region of low proton concentration. In prokaryotes, the passage of electrons is accompanied by the outward movement of protons across the plasma membrane.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4. The flow of protons back through membrane-bound ATP synthase by chemiosmosis generates ATP from ADP and inorganic phosphate.</w:t>
      </w:r>
    </w:p>
    <w:p w:rsidR="0019020A" w:rsidRPr="0019020A" w:rsidRDefault="0019020A" w:rsidP="001902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5. In cellular respiration, decoupling oxidative phosphorylation from electron transport is involved in thermoregulation.</w:t>
      </w:r>
    </w:p>
    <w:p w:rsidR="0019020A" w:rsidRPr="0019020A" w:rsidRDefault="0019020A" w:rsidP="00190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h. Free energy becomes available for metabolism by the conversion of ATP→ADP, which is coupled to many steps in metabolic pathways.</w:t>
      </w:r>
    </w:p>
    <w:p w:rsidR="0019020A" w:rsidRPr="0019020A" w:rsidRDefault="0019020A" w:rsidP="0019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Times New Roman" w:eastAsia="Times New Roman" w:hAnsi="Times New Roman" w:cs="Times New Roman"/>
          <w:sz w:val="24"/>
          <w:szCs w:val="24"/>
        </w:rPr>
        <w:br/>
      </w: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Student Objectives: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Compare the major features of chemoheterotrophic and photoautotrophic nutritional processes.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necessity of electron shuttles in metabolic pathways.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inputs, major processes, and outputs of glycolysis, fermentation, and aerobic cellular respiration.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Trace the movement of energy and matter through all respiratory processes.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Localize all respiratory processes to their locations in a typical eukaryotic cell.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inputs, major processes, and outputs of the light reactions and the Calvin Cycle.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Trace the movement of energy and matter through all photosynthetic processes.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Localize all photosynthet</w:t>
      </w:r>
      <w:r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 xml:space="preserve">ic processes to their location </w:t>
      </w:r>
      <w:bookmarkStart w:id="0" w:name="_GoBack"/>
      <w:bookmarkEnd w:id="0"/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in a typical eukaryotic, autotrophic cell.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Describe the process of chemiosmosis and compare its function in photosynthetic and respiratory pathways.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the relationship between photosynthesis and respiration at the subcellular, organismal, and ecosystem levels of organization.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Compare the relative efficiencies of anaerobic cellular respiration and aerobic cellular respiration.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Explain how energetic requirements contribute to the adaptations of organisms.  Provide examples to support your statements.</w:t>
      </w:r>
    </w:p>
    <w:p w:rsidR="0019020A" w:rsidRPr="0019020A" w:rsidRDefault="0019020A" w:rsidP="001902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b/>
          <w:bCs/>
          <w:color w:val="000000"/>
          <w:sz w:val="20"/>
          <w:szCs w:val="20"/>
        </w:rPr>
        <w:t>Propose experimental designs by which the rate of photosynthesis and respiration can be measured and studied.</w:t>
      </w:r>
    </w:p>
    <w:p w:rsidR="0019020A" w:rsidRPr="0019020A" w:rsidRDefault="0019020A" w:rsidP="0019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20A">
        <w:rPr>
          <w:rFonts w:ascii="Times New Roman" w:eastAsia="Times New Roman" w:hAnsi="Times New Roman" w:cs="Times New Roman"/>
          <w:sz w:val="24"/>
          <w:szCs w:val="24"/>
        </w:rPr>
        <w:br/>
      </w: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>Learning Objectives:</w:t>
      </w:r>
    </w:p>
    <w:p w:rsidR="0019020A" w:rsidRPr="0019020A" w:rsidRDefault="0019020A" w:rsidP="001902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The student is able to use representations to pose scientific questions about what mechanisms and structural features allow organisms to capture, store and use free energy. </w:t>
      </w:r>
    </w:p>
    <w:p w:rsidR="0019020A" w:rsidRPr="0019020A" w:rsidRDefault="0019020A" w:rsidP="001902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Ubuntu" w:eastAsia="Times New Roman" w:hAnsi="Ubuntu" w:cs="Times New Roman"/>
          <w:color w:val="000000"/>
          <w:sz w:val="20"/>
          <w:szCs w:val="20"/>
        </w:rPr>
      </w:pPr>
      <w:r w:rsidRPr="0019020A">
        <w:rPr>
          <w:rFonts w:ascii="Ubuntu" w:eastAsia="Times New Roman" w:hAnsi="Ubuntu" w:cs="Times New Roman"/>
          <w:color w:val="000000"/>
          <w:sz w:val="20"/>
          <w:szCs w:val="20"/>
        </w:rPr>
        <w:t xml:space="preserve">The student is able to construct explanations of the mechanisms and structural features of cells that allow organisms to capture, store or use free energy. </w:t>
      </w:r>
    </w:p>
    <w:p w:rsidR="0019020A" w:rsidRPr="0019020A" w:rsidRDefault="0019020A">
      <w:pPr>
        <w:rPr>
          <w:b/>
        </w:rPr>
      </w:pPr>
    </w:p>
    <w:sectPr w:rsidR="0019020A" w:rsidRPr="0019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25E"/>
    <w:multiLevelType w:val="multilevel"/>
    <w:tmpl w:val="17C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E4BBB"/>
    <w:multiLevelType w:val="multilevel"/>
    <w:tmpl w:val="F50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47BBC"/>
    <w:multiLevelType w:val="multilevel"/>
    <w:tmpl w:val="5A7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0A"/>
    <w:rsid w:val="0019020A"/>
    <w:rsid w:val="003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2013-01-09T05:04:00Z</dcterms:created>
  <dcterms:modified xsi:type="dcterms:W3CDTF">2013-01-09T05:06:00Z</dcterms:modified>
</cp:coreProperties>
</file>